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6C" w:rsidRDefault="00B53E6C" w:rsidP="00B53E6C">
      <w:pPr>
        <w:shd w:val="clear" w:color="auto" w:fill="FFFFFF"/>
        <w:spacing w:before="100" w:beforeAutospacing="1" w:after="300" w:line="240" w:lineRule="auto"/>
        <w:ind w:left="-24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Features of the Information Technology Act, 2000</w:t>
      </w:r>
    </w:p>
    <w:p w:rsidR="00B53E6C" w:rsidRPr="00B53E6C" w:rsidRDefault="00B53E6C" w:rsidP="00B53E6C">
      <w:pPr>
        <w:shd w:val="clear" w:color="auto" w:fill="FFFFFF"/>
        <w:spacing w:before="100" w:beforeAutospacing="1" w:after="300" w:line="240" w:lineRule="auto"/>
        <w:ind w:left="-24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All electronic contracts made through secure electronic channels are legally valid.</w:t>
      </w: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Legal recognition for digital signatures.</w:t>
      </w:r>
      <w:proofErr w:type="gramEnd"/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Security measures for electronic records and also digital signatures are in place</w:t>
      </w: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A procedure for the appointment of adjudicating officers for holding inquiries under the Act is finalized</w:t>
      </w: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Provision for establishing a Cyber Regulatory Appellant Tribunal under the Act.</w:t>
      </w:r>
      <w:proofErr w:type="gramEnd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 xml:space="preserve"> Further, this tribunal will handle all appeals made against the order of the Controller or Adjudicating Officer.</w:t>
      </w: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An appeal against the order of the Cyber Appellant Tribunal is possible only in the High Court</w:t>
      </w: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DIGITAL SIGNATURE </w:t>
      </w: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 will use an asymmetric cryptosystem and also a hash function</w:t>
      </w: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 xml:space="preserve">Provision for the appointment of the Controller of Certifying Authorities (CCA) to license and regulate the working of Certifying Authorities. </w:t>
      </w: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The Controller to act as a repository of all digital signatures.</w:t>
      </w:r>
      <w:proofErr w:type="gramEnd"/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The Act applies to offences or contraventions committed outside India</w:t>
      </w: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Senior police officers and other officers can enter any public place and search and arrest without warrant</w:t>
      </w:r>
    </w:p>
    <w:p w:rsidR="00B53E6C" w:rsidRPr="00B53E6C" w:rsidRDefault="00B53E6C" w:rsidP="00B53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Provisions for the constitution of a Cyber Regulations Advisory Committee to advise the Central Government and Controller.</w:t>
      </w:r>
      <w:proofErr w:type="gramEnd"/>
    </w:p>
    <w:p w:rsidR="00B53E6C" w:rsidRPr="00B53E6C" w:rsidRDefault="00B53E6C" w:rsidP="00B53E6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Applicability and Non-Applicability of the Act</w:t>
      </w:r>
    </w:p>
    <w:p w:rsidR="00B53E6C" w:rsidRPr="00B53E6C" w:rsidRDefault="00B53E6C" w:rsidP="00B53E6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Applicability</w:t>
      </w:r>
    </w:p>
    <w:p w:rsidR="00B53E6C" w:rsidRPr="00B53E6C" w:rsidRDefault="00B53E6C" w:rsidP="00B53E6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According to Section 1 (2), the Act extends to the entire country, which also includes Jammu and Kashmir. In order to include Jammu and Kashmir, the Act </w:t>
      </w:r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uses </w:t>
      </w:r>
      <w:hyperlink r:id="rId5" w:history="1">
        <w:r w:rsidRPr="00B53E6C">
          <w:rPr>
            <w:rFonts w:ascii="Times New Roman" w:eastAsia="Times New Roman" w:hAnsi="Times New Roman" w:cs="Times New Roman"/>
            <w:color w:val="55BBEA"/>
            <w:spacing w:val="-3"/>
            <w:sz w:val="28"/>
            <w:szCs w:val="28"/>
            <w:u w:val="single"/>
          </w:rPr>
          <w:t>Article</w:t>
        </w:r>
      </w:hyperlink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 253 of the constitution. Further, it does not </w:t>
      </w:r>
      <w:proofErr w:type="gramStart"/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t>take citizenship into account</w:t>
      </w:r>
      <w:proofErr w:type="gramEnd"/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and provides extra-territorial jurisdiction.</w:t>
      </w:r>
    </w:p>
    <w:p w:rsidR="00B53E6C" w:rsidRPr="00B53E6C" w:rsidRDefault="00B53E6C" w:rsidP="00B53E6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t>Section 1 (2) along with Section 75, specifies that the Act is applicable to any offence or contravention committed outside India as well. If the conduct of person constituting the offence involves a computer or a computerized system or network located in India, then irrespective of his/her nationality, the person is punishable under the Act.</w:t>
      </w:r>
    </w:p>
    <w:p w:rsidR="00B53E6C" w:rsidRPr="00B53E6C" w:rsidRDefault="00B53E6C" w:rsidP="00B53E6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t>Lack of international cooperation is the only limitation of this </w:t>
      </w:r>
      <w:hyperlink r:id="rId6" w:history="1">
        <w:r w:rsidRPr="00B53E6C">
          <w:rPr>
            <w:rFonts w:ascii="Times New Roman" w:eastAsia="Times New Roman" w:hAnsi="Times New Roman" w:cs="Times New Roman"/>
            <w:color w:val="55BBEA"/>
            <w:spacing w:val="-3"/>
            <w:sz w:val="28"/>
            <w:szCs w:val="28"/>
            <w:u w:val="single"/>
          </w:rPr>
          <w:t>provision</w:t>
        </w:r>
      </w:hyperlink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53E6C" w:rsidRPr="00B53E6C" w:rsidRDefault="00B53E6C" w:rsidP="00B53E6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Non-Applicability</w:t>
      </w:r>
    </w:p>
    <w:p w:rsidR="00B53E6C" w:rsidRPr="00B53E6C" w:rsidRDefault="00B53E6C" w:rsidP="00B53E6C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spacing w:val="-3"/>
          <w:sz w:val="28"/>
          <w:szCs w:val="28"/>
        </w:rPr>
        <w:t>According to Section 1 (4) of the Information Technology Act, 2000, the Act is not applicable to the following documents:</w:t>
      </w:r>
    </w:p>
    <w:p w:rsidR="00B53E6C" w:rsidRPr="00B53E6C" w:rsidRDefault="00B53E6C" w:rsidP="00B53E6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 xml:space="preserve">Execution of Negotiable Instrument under Negotiable Instruments Act, 1881, except </w:t>
      </w:r>
      <w:proofErr w:type="spell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cheques</w:t>
      </w:r>
      <w:proofErr w:type="spellEnd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.</w:t>
      </w:r>
      <w:proofErr w:type="gramEnd"/>
    </w:p>
    <w:p w:rsidR="00B53E6C" w:rsidRPr="00B53E6C" w:rsidRDefault="00B53E6C" w:rsidP="00B53E6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Execution of a Power of Attorney under the Powers of Attorney Act, 1882.</w:t>
      </w:r>
      <w:proofErr w:type="gramEnd"/>
    </w:p>
    <w:p w:rsidR="00B53E6C" w:rsidRPr="00B53E6C" w:rsidRDefault="00B53E6C" w:rsidP="00B53E6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Creation of Trust under the Indian Trust Act, 1882.</w:t>
      </w:r>
      <w:proofErr w:type="gramEnd"/>
    </w:p>
    <w:p w:rsidR="00B53E6C" w:rsidRPr="00B53E6C" w:rsidRDefault="00B53E6C" w:rsidP="00B53E6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Execution of a Will under the Indian Succession Act, 1925 including any other testamentary disposition</w:t>
      </w:r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br/>
        <w:t>by whatever name called.</w:t>
      </w:r>
    </w:p>
    <w:p w:rsidR="00B53E6C" w:rsidRPr="00B53E6C" w:rsidRDefault="00B53E6C" w:rsidP="00B53E6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Entering into a contract for the sale of conveyance of immovable property or any interest in such property.</w:t>
      </w:r>
      <w:proofErr w:type="gramEnd"/>
    </w:p>
    <w:p w:rsidR="00B53E6C" w:rsidRPr="00B53E6C" w:rsidRDefault="00B53E6C" w:rsidP="00B53E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</w:pPr>
      <w:proofErr w:type="gramStart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Any such class of documents or transactions as may be notified by the Central Government in the Gazette</w:t>
      </w:r>
      <w:proofErr w:type="gramEnd"/>
      <w:r w:rsidRPr="00B53E6C">
        <w:rPr>
          <w:rFonts w:ascii="Times New Roman" w:eastAsia="Times New Roman" w:hAnsi="Times New Roman" w:cs="Times New Roman"/>
          <w:color w:val="0B0B0B"/>
          <w:spacing w:val="-1"/>
          <w:sz w:val="28"/>
          <w:szCs w:val="28"/>
        </w:rPr>
        <w:t>.</w:t>
      </w:r>
    </w:p>
    <w:sectPr w:rsidR="00B53E6C" w:rsidRPr="00B53E6C" w:rsidSect="00623E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65C"/>
    <w:multiLevelType w:val="multilevel"/>
    <w:tmpl w:val="1676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53980"/>
    <w:multiLevelType w:val="multilevel"/>
    <w:tmpl w:val="3D60F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F5F22"/>
    <w:multiLevelType w:val="multilevel"/>
    <w:tmpl w:val="A68C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3E6C"/>
    <w:rsid w:val="002C1243"/>
    <w:rsid w:val="00623E17"/>
    <w:rsid w:val="006F5134"/>
    <w:rsid w:val="00B5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43"/>
  </w:style>
  <w:style w:type="paragraph" w:styleId="Heading2">
    <w:name w:val="heading 2"/>
    <w:basedOn w:val="Normal"/>
    <w:link w:val="Heading2Char"/>
    <w:uiPriority w:val="9"/>
    <w:qFormat/>
    <w:rsid w:val="00B53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3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E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3E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3E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3E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pr.com/guides/accountancy/depreciation-provision-and-reserves/provisions/" TargetMode="External"/><Relationship Id="rId5" Type="http://schemas.openxmlformats.org/officeDocument/2006/relationships/hyperlink" Target="https://www.toppr.com/guides/english/writing/arti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verma</dc:creator>
  <cp:lastModifiedBy>pooja verma</cp:lastModifiedBy>
  <cp:revision>1</cp:revision>
  <dcterms:created xsi:type="dcterms:W3CDTF">2021-04-28T08:01:00Z</dcterms:created>
  <dcterms:modified xsi:type="dcterms:W3CDTF">2021-04-28T08:03:00Z</dcterms:modified>
</cp:coreProperties>
</file>